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4442" w:rsidRDefault="006C22DA"/>
    <w:p w:rsidR="00B6797A" w:rsidRDefault="00B6797A"/>
    <w:p w:rsidR="00B6797A" w:rsidRDefault="00B6797A" w:rsidP="00B6797A">
      <w:pPr>
        <w:autoSpaceDE w:val="0"/>
        <w:autoSpaceDN w:val="0"/>
        <w:adjustRightInd w:val="0"/>
        <w:spacing w:after="0" w:line="240" w:lineRule="auto"/>
        <w:jc w:val="center"/>
        <w:rPr>
          <w:rFonts w:ascii="Garamond" w:hAnsi="Garamond"/>
          <w:b/>
          <w:color w:val="5B9BD5" w:themeColor="accent5"/>
          <w:sz w:val="48"/>
          <w:szCs w:val="48"/>
        </w:rPr>
      </w:pPr>
    </w:p>
    <w:p w:rsidR="00B6797A" w:rsidRDefault="00B6797A" w:rsidP="00B6797A">
      <w:pPr>
        <w:autoSpaceDE w:val="0"/>
        <w:autoSpaceDN w:val="0"/>
        <w:adjustRightInd w:val="0"/>
        <w:spacing w:after="0" w:line="240" w:lineRule="auto"/>
        <w:jc w:val="center"/>
        <w:rPr>
          <w:rFonts w:ascii="Garamond" w:hAnsi="Garamond"/>
          <w:b/>
          <w:color w:val="5B9BD5" w:themeColor="accent5"/>
          <w:sz w:val="48"/>
          <w:szCs w:val="48"/>
        </w:rPr>
      </w:pPr>
    </w:p>
    <w:p w:rsidR="00B6797A" w:rsidRDefault="00B6797A" w:rsidP="00B6797A">
      <w:pPr>
        <w:autoSpaceDE w:val="0"/>
        <w:autoSpaceDN w:val="0"/>
        <w:adjustRightInd w:val="0"/>
        <w:spacing w:after="0" w:line="240" w:lineRule="auto"/>
        <w:jc w:val="center"/>
        <w:rPr>
          <w:rFonts w:ascii="Garamond" w:hAnsi="Garamond"/>
          <w:b/>
          <w:color w:val="5B9BD5" w:themeColor="accent5"/>
          <w:sz w:val="48"/>
          <w:szCs w:val="48"/>
        </w:rPr>
      </w:pPr>
    </w:p>
    <w:p w:rsidR="00B6797A" w:rsidRPr="00BF1E48" w:rsidRDefault="00B6797A" w:rsidP="00B6797A">
      <w:pPr>
        <w:autoSpaceDE w:val="0"/>
        <w:autoSpaceDN w:val="0"/>
        <w:adjustRightInd w:val="0"/>
        <w:spacing w:after="0" w:line="240" w:lineRule="auto"/>
        <w:jc w:val="center"/>
        <w:rPr>
          <w:rFonts w:ascii="Garamond" w:hAnsi="Garamond"/>
          <w:b/>
          <w:color w:val="5B9BD5" w:themeColor="accent5"/>
          <w:sz w:val="48"/>
          <w:szCs w:val="48"/>
        </w:rPr>
      </w:pPr>
      <w:r>
        <w:rPr>
          <w:rFonts w:ascii="Garamond" w:hAnsi="Garamond"/>
          <w:b/>
          <w:color w:val="5B9BD5" w:themeColor="accent5"/>
          <w:sz w:val="48"/>
          <w:szCs w:val="48"/>
        </w:rPr>
        <w:t>RESUMEN EJECUTIVO</w:t>
      </w:r>
    </w:p>
    <w:p w:rsidR="00B6797A" w:rsidRPr="00BF1E48" w:rsidRDefault="00B6797A" w:rsidP="00B6797A">
      <w:pPr>
        <w:rPr>
          <w:rFonts w:ascii="Garamond" w:hAnsi="Garamond"/>
          <w:b/>
          <w:color w:val="5B9BD5" w:themeColor="accent5"/>
          <w:sz w:val="48"/>
          <w:szCs w:val="48"/>
        </w:rPr>
      </w:pPr>
    </w:p>
    <w:p w:rsidR="00B6797A" w:rsidRPr="00BF1E48" w:rsidRDefault="00B6797A" w:rsidP="00B6797A">
      <w:pPr>
        <w:autoSpaceDE w:val="0"/>
        <w:autoSpaceDN w:val="0"/>
        <w:adjustRightInd w:val="0"/>
        <w:spacing w:after="0" w:line="240" w:lineRule="auto"/>
        <w:jc w:val="both"/>
        <w:rPr>
          <w:rFonts w:ascii="Garamond" w:hAnsi="Garamond"/>
          <w:b/>
          <w:sz w:val="28"/>
          <w:szCs w:val="28"/>
        </w:rPr>
      </w:pPr>
    </w:p>
    <w:p w:rsidR="00B6797A" w:rsidRDefault="00B6797A" w:rsidP="00B6797A">
      <w:pPr>
        <w:jc w:val="center"/>
        <w:rPr>
          <w:rFonts w:ascii="Garamond" w:hAnsi="Garamond"/>
          <w:b/>
          <w:sz w:val="28"/>
          <w:szCs w:val="28"/>
        </w:rPr>
      </w:pPr>
    </w:p>
    <w:p w:rsidR="00B6797A" w:rsidRPr="00BF1E48" w:rsidRDefault="00B6797A" w:rsidP="00B6797A">
      <w:pPr>
        <w:jc w:val="center"/>
        <w:rPr>
          <w:rFonts w:ascii="Garamond" w:hAnsi="Garamond"/>
          <w:b/>
          <w:sz w:val="28"/>
          <w:szCs w:val="28"/>
        </w:rPr>
      </w:pPr>
      <w:r w:rsidRPr="00BF1E48">
        <w:rPr>
          <w:rFonts w:ascii="Garamond" w:hAnsi="Garamond"/>
          <w:b/>
          <w:noProof/>
          <w:sz w:val="28"/>
          <w:szCs w:val="28"/>
          <w:lang w:eastAsia="es-ES"/>
        </w:rPr>
        <w:drawing>
          <wp:anchor distT="0" distB="0" distL="114300" distR="114300" simplePos="0" relativeHeight="251659264" behindDoc="0" locked="0" layoutInCell="1" allowOverlap="1" wp14:anchorId="69B43ED6" wp14:editId="42DB9313">
            <wp:simplePos x="0" y="0"/>
            <wp:positionH relativeFrom="column">
              <wp:posOffset>425547</wp:posOffset>
            </wp:positionH>
            <wp:positionV relativeFrom="paragraph">
              <wp:posOffset>26035</wp:posOffset>
            </wp:positionV>
            <wp:extent cx="1027620" cy="948055"/>
            <wp:effectExtent l="0" t="0" r="1270" b="4445"/>
            <wp:wrapNone/>
            <wp:docPr id="10" name="Imagen 9" descr="LOGO ANFA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LOGO ANFACO.PN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41226" cy="960607"/>
                    </a:xfrm>
                    <a:prstGeom prst="rect">
                      <a:avLst/>
                    </a:prstGeom>
                  </pic:spPr>
                </pic:pic>
              </a:graphicData>
            </a:graphic>
            <wp14:sizeRelH relativeFrom="margin">
              <wp14:pctWidth>0</wp14:pctWidth>
            </wp14:sizeRelH>
            <wp14:sizeRelV relativeFrom="margin">
              <wp14:pctHeight>0</wp14:pctHeight>
            </wp14:sizeRelV>
          </wp:anchor>
        </w:drawing>
      </w:r>
    </w:p>
    <w:p w:rsidR="00B6797A" w:rsidRPr="00BF1E48" w:rsidRDefault="00B6797A" w:rsidP="00B6797A">
      <w:pPr>
        <w:jc w:val="center"/>
        <w:rPr>
          <w:rFonts w:ascii="Garamond" w:hAnsi="Garamond"/>
          <w:b/>
          <w:sz w:val="28"/>
          <w:szCs w:val="28"/>
        </w:rPr>
      </w:pPr>
      <w:r w:rsidRPr="000769D2">
        <w:rPr>
          <w:rFonts w:ascii="Garamond" w:hAnsi="Garamond"/>
          <w:b/>
          <w:noProof/>
          <w:sz w:val="28"/>
          <w:szCs w:val="28"/>
        </w:rPr>
        <w:drawing>
          <wp:inline distT="0" distB="0" distL="0" distR="0" wp14:anchorId="7CA618FD" wp14:editId="0B19A0FE">
            <wp:extent cx="2163156" cy="333375"/>
            <wp:effectExtent l="0" t="0" r="8890" b="0"/>
            <wp:docPr id="18" name="Picture 2" descr="Resultado de imagen de fundacion CARTIF logo">
              <a:extLst xmlns:a="http://schemas.openxmlformats.org/drawingml/2006/main">
                <a:ext uri="{FF2B5EF4-FFF2-40B4-BE49-F238E27FC236}">
                  <a16:creationId xmlns:a16="http://schemas.microsoft.com/office/drawing/2014/main" id="{F83FDD9E-25BA-45CB-8DCA-3A6165D97C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Resultado de imagen de fundacion CARTIF logo">
                      <a:extLst>
                        <a:ext uri="{FF2B5EF4-FFF2-40B4-BE49-F238E27FC236}">
                          <a16:creationId xmlns:a16="http://schemas.microsoft.com/office/drawing/2014/main" id="{F83FDD9E-25BA-45CB-8DCA-3A6165D97C83}"/>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3156" cy="333375"/>
                    </a:xfrm>
                    <a:prstGeom prst="rect">
                      <a:avLst/>
                    </a:prstGeom>
                    <a:noFill/>
                  </pic:spPr>
                </pic:pic>
              </a:graphicData>
            </a:graphic>
          </wp:inline>
        </w:drawing>
      </w:r>
    </w:p>
    <w:p w:rsidR="00B6797A" w:rsidRPr="00BF1E48" w:rsidRDefault="00B6797A" w:rsidP="00B6797A">
      <w:pPr>
        <w:jc w:val="center"/>
        <w:rPr>
          <w:rFonts w:ascii="Garamond" w:hAnsi="Garamond"/>
          <w:b/>
          <w:sz w:val="28"/>
          <w:szCs w:val="28"/>
        </w:rPr>
      </w:pPr>
      <w:r w:rsidRPr="000769D2">
        <w:rPr>
          <w:rFonts w:ascii="Garamond" w:hAnsi="Garamond"/>
          <w:b/>
          <w:noProof/>
          <w:sz w:val="28"/>
          <w:szCs w:val="28"/>
        </w:rPr>
        <w:drawing>
          <wp:inline distT="0" distB="0" distL="0" distR="0" wp14:anchorId="7141E625" wp14:editId="08270A4A">
            <wp:extent cx="1343376" cy="1343376"/>
            <wp:effectExtent l="0" t="0" r="9525" b="9525"/>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8" cstate="print"/>
                    <a:stretch>
                      <a:fillRect/>
                    </a:stretch>
                  </pic:blipFill>
                  <pic:spPr>
                    <a:xfrm>
                      <a:off x="0" y="0"/>
                      <a:ext cx="1343376" cy="1343376"/>
                    </a:xfrm>
                    <a:prstGeom prst="rect">
                      <a:avLst/>
                    </a:prstGeom>
                  </pic:spPr>
                </pic:pic>
              </a:graphicData>
            </a:graphic>
          </wp:inline>
        </w:drawing>
      </w:r>
    </w:p>
    <w:p w:rsidR="00B6797A" w:rsidRPr="00BF1E48" w:rsidRDefault="00B6797A" w:rsidP="00B6797A">
      <w:pPr>
        <w:jc w:val="center"/>
        <w:rPr>
          <w:rFonts w:ascii="Garamond" w:hAnsi="Garamond"/>
          <w:b/>
          <w:sz w:val="28"/>
          <w:szCs w:val="28"/>
        </w:rPr>
      </w:pPr>
    </w:p>
    <w:p w:rsidR="00B6797A" w:rsidRPr="00BF1E48" w:rsidRDefault="00B6797A" w:rsidP="00B6797A">
      <w:pPr>
        <w:jc w:val="center"/>
        <w:rPr>
          <w:rFonts w:ascii="Garamond" w:hAnsi="Garamond"/>
          <w:b/>
          <w:sz w:val="28"/>
          <w:szCs w:val="28"/>
        </w:rPr>
      </w:pPr>
      <w:r w:rsidRPr="00BF1E48">
        <w:rPr>
          <w:rFonts w:ascii="Garamond" w:hAnsi="Garamond"/>
          <w:b/>
          <w:sz w:val="28"/>
          <w:szCs w:val="28"/>
        </w:rPr>
        <w:t xml:space="preserve">PROYECTO </w:t>
      </w:r>
      <w:r>
        <w:rPr>
          <w:rFonts w:ascii="Garamond" w:hAnsi="Garamond"/>
          <w:b/>
          <w:sz w:val="28"/>
          <w:szCs w:val="28"/>
        </w:rPr>
        <w:t>ALTERNFEED</w:t>
      </w:r>
    </w:p>
    <w:p w:rsidR="00B6797A" w:rsidRPr="000769D2" w:rsidRDefault="00B6797A" w:rsidP="00B6797A">
      <w:pPr>
        <w:jc w:val="center"/>
        <w:rPr>
          <w:rFonts w:ascii="Garamond" w:hAnsi="Garamond"/>
          <w:b/>
          <w:sz w:val="28"/>
          <w:szCs w:val="28"/>
        </w:rPr>
      </w:pPr>
      <w:r w:rsidRPr="00BF1E48">
        <w:rPr>
          <w:rFonts w:ascii="Garamond" w:hAnsi="Garamond"/>
          <w:b/>
          <w:sz w:val="28"/>
          <w:szCs w:val="28"/>
        </w:rPr>
        <w:t>“</w:t>
      </w:r>
      <w:r w:rsidRPr="000769D2">
        <w:rPr>
          <w:rFonts w:ascii="Garamond" w:hAnsi="Garamond"/>
          <w:b/>
          <w:sz w:val="28"/>
          <w:szCs w:val="28"/>
        </w:rPr>
        <w:t xml:space="preserve">Sustitución de harina y aceite de pescado por productos sostenibles </w:t>
      </w:r>
    </w:p>
    <w:p w:rsidR="00B6797A" w:rsidRPr="00BF1E48" w:rsidRDefault="00B6797A" w:rsidP="00B6797A">
      <w:pPr>
        <w:jc w:val="center"/>
        <w:rPr>
          <w:rFonts w:ascii="Garamond" w:hAnsi="Garamond"/>
          <w:b/>
          <w:sz w:val="28"/>
          <w:szCs w:val="28"/>
        </w:rPr>
      </w:pPr>
      <w:r w:rsidRPr="000769D2">
        <w:rPr>
          <w:rFonts w:ascii="Garamond" w:hAnsi="Garamond"/>
          <w:b/>
          <w:sz w:val="28"/>
          <w:szCs w:val="28"/>
        </w:rPr>
        <w:t>y subproductos alternativos</w:t>
      </w:r>
      <w:r w:rsidRPr="00BF1E48">
        <w:rPr>
          <w:rFonts w:ascii="Garamond" w:hAnsi="Garamond"/>
          <w:b/>
          <w:sz w:val="28"/>
          <w:szCs w:val="28"/>
        </w:rPr>
        <w:t>”</w:t>
      </w:r>
    </w:p>
    <w:p w:rsidR="00B6797A" w:rsidRDefault="00B6797A"/>
    <w:p w:rsidR="00B6797A" w:rsidRDefault="00B6797A"/>
    <w:p w:rsidR="00B6797A" w:rsidRDefault="00B6797A"/>
    <w:p w:rsidR="00B6797A" w:rsidRDefault="00B6797A"/>
    <w:p w:rsidR="00B6797A" w:rsidRDefault="00B6797A"/>
    <w:p w:rsidR="00B6797A" w:rsidRDefault="00B6797A"/>
    <w:p w:rsidR="00B6797A" w:rsidRDefault="00B6797A"/>
    <w:p w:rsidR="00B6797A" w:rsidRDefault="00B6797A"/>
    <w:p w:rsidR="00B6797A" w:rsidRDefault="00B6797A"/>
    <w:p w:rsidR="00B6797A" w:rsidRPr="00B6797A" w:rsidRDefault="00B6797A" w:rsidP="00B6797A">
      <w:pPr>
        <w:autoSpaceDE w:val="0"/>
        <w:autoSpaceDN w:val="0"/>
        <w:adjustRightInd w:val="0"/>
        <w:spacing w:after="0" w:line="240" w:lineRule="auto"/>
        <w:jc w:val="center"/>
        <w:rPr>
          <w:rFonts w:ascii="Garamond" w:hAnsi="Garamond"/>
          <w:b/>
          <w:color w:val="5B9BD5" w:themeColor="accent5"/>
          <w:sz w:val="36"/>
          <w:szCs w:val="36"/>
        </w:rPr>
      </w:pPr>
      <w:r w:rsidRPr="00B6797A">
        <w:rPr>
          <w:rFonts w:ascii="Garamond" w:hAnsi="Garamond"/>
          <w:b/>
          <w:color w:val="5B9BD5" w:themeColor="accent5"/>
          <w:sz w:val="36"/>
          <w:szCs w:val="36"/>
        </w:rPr>
        <w:t>RESUMEN EJECUTIVO</w:t>
      </w:r>
    </w:p>
    <w:p w:rsidR="00B6797A" w:rsidRDefault="00B6797A" w:rsidP="00B6797A">
      <w:pPr>
        <w:jc w:val="both"/>
        <w:rPr>
          <w:rFonts w:asciiTheme="majorHAnsi" w:hAnsiTheme="majorHAnsi"/>
          <w:sz w:val="24"/>
        </w:rPr>
      </w:pPr>
    </w:p>
    <w:p w:rsidR="00B6797A" w:rsidRPr="00203BA5" w:rsidRDefault="00B6797A" w:rsidP="00B6797A">
      <w:pPr>
        <w:jc w:val="both"/>
        <w:rPr>
          <w:rFonts w:asciiTheme="majorHAnsi" w:hAnsiTheme="majorHAnsi"/>
          <w:sz w:val="24"/>
        </w:rPr>
      </w:pPr>
      <w:r w:rsidRPr="00203BA5">
        <w:rPr>
          <w:rFonts w:asciiTheme="majorHAnsi" w:hAnsiTheme="majorHAnsi"/>
          <w:sz w:val="24"/>
        </w:rPr>
        <w:t>El proyecto (ALTERNFEED) tiene como objetivo principal la reducción del empleo de harinas y aceites de pescado mediante la búsqueda de ingredientes alternativos para la formulación de piensos de trucha y de corvina criadas en acuicultura.  En ALTERNFEED se trabajó:</w:t>
      </w:r>
    </w:p>
    <w:p w:rsidR="00B6797A" w:rsidRPr="00203BA5" w:rsidRDefault="00B6797A" w:rsidP="00B6797A">
      <w:pPr>
        <w:jc w:val="both"/>
        <w:rPr>
          <w:rFonts w:asciiTheme="majorHAnsi" w:hAnsiTheme="majorHAnsi"/>
          <w:sz w:val="24"/>
        </w:rPr>
      </w:pPr>
      <w:r w:rsidRPr="00203BA5">
        <w:rPr>
          <w:rFonts w:asciiTheme="majorHAnsi" w:hAnsiTheme="majorHAnsi"/>
          <w:sz w:val="24"/>
        </w:rPr>
        <w:t xml:space="preserve">1- En la selección de especies </w:t>
      </w:r>
      <w:r>
        <w:rPr>
          <w:rFonts w:asciiTheme="majorHAnsi" w:hAnsiTheme="majorHAnsi"/>
          <w:sz w:val="24"/>
        </w:rPr>
        <w:t xml:space="preserve">de microalgas </w:t>
      </w:r>
      <w:r w:rsidRPr="00203BA5">
        <w:rPr>
          <w:rFonts w:asciiTheme="majorHAnsi" w:hAnsiTheme="majorHAnsi"/>
          <w:sz w:val="24"/>
        </w:rPr>
        <w:t xml:space="preserve">ricas en lípidos y ácidos grasos polinsaturados optando por la optimización de las condiciones de cultivo y la determinación de la fase </w:t>
      </w:r>
      <w:r>
        <w:rPr>
          <w:rFonts w:asciiTheme="majorHAnsi" w:hAnsiTheme="majorHAnsi"/>
          <w:sz w:val="24"/>
        </w:rPr>
        <w:t>de crecimiento ó</w:t>
      </w:r>
      <w:r w:rsidRPr="00203BA5">
        <w:rPr>
          <w:rFonts w:asciiTheme="majorHAnsi" w:hAnsiTheme="majorHAnsi"/>
          <w:sz w:val="24"/>
        </w:rPr>
        <w:t xml:space="preserve">ptima de acumulación de </w:t>
      </w:r>
      <w:r>
        <w:rPr>
          <w:rFonts w:asciiTheme="majorHAnsi" w:hAnsiTheme="majorHAnsi"/>
          <w:sz w:val="24"/>
        </w:rPr>
        <w:t>á</w:t>
      </w:r>
      <w:r w:rsidRPr="00203BA5">
        <w:rPr>
          <w:rFonts w:asciiTheme="majorHAnsi" w:hAnsiTheme="majorHAnsi"/>
          <w:sz w:val="24"/>
        </w:rPr>
        <w:t>cidos grasos de interés. Además, se estudió la selección del método de cosechado más eficiente. Los resultados a escala laboratorio mostraron que existe una variabilidad en cuanto a cantidad total de lípidos y de perfil de ácidos grasos entre las especies y entre las fases de cosecha y se eligieron las condiciones</w:t>
      </w:r>
      <w:r>
        <w:rPr>
          <w:rFonts w:asciiTheme="majorHAnsi" w:hAnsiTheme="majorHAnsi"/>
          <w:sz w:val="24"/>
        </w:rPr>
        <w:t xml:space="preserve"> de cultivo</w:t>
      </w:r>
      <w:r w:rsidRPr="00203BA5">
        <w:rPr>
          <w:rFonts w:asciiTheme="majorHAnsi" w:hAnsiTheme="majorHAnsi"/>
          <w:sz w:val="24"/>
        </w:rPr>
        <w:t xml:space="preserve"> óptimas para cada especie en el cultivo a escala piloto. Durante esta fase, se han producido 5370 litros de microalgas con un total de 174</w:t>
      </w:r>
      <w:r>
        <w:rPr>
          <w:rFonts w:asciiTheme="majorHAnsi" w:hAnsiTheme="majorHAnsi"/>
          <w:sz w:val="24"/>
        </w:rPr>
        <w:t>.</w:t>
      </w:r>
      <w:r w:rsidRPr="00203BA5">
        <w:rPr>
          <w:rFonts w:asciiTheme="majorHAnsi" w:hAnsiTheme="majorHAnsi"/>
          <w:sz w:val="24"/>
        </w:rPr>
        <w:t>46</w:t>
      </w:r>
      <w:r>
        <w:rPr>
          <w:rFonts w:asciiTheme="majorHAnsi" w:hAnsiTheme="majorHAnsi"/>
          <w:sz w:val="24"/>
        </w:rPr>
        <w:t>9 x</w:t>
      </w:r>
      <w:r w:rsidRPr="00203BA5">
        <w:rPr>
          <w:rFonts w:asciiTheme="majorHAnsi" w:hAnsiTheme="majorHAnsi"/>
          <w:sz w:val="24"/>
        </w:rPr>
        <w:t xml:space="preserve"> 10</w:t>
      </w:r>
      <w:r w:rsidRPr="0085573F">
        <w:rPr>
          <w:rFonts w:asciiTheme="majorHAnsi" w:hAnsiTheme="majorHAnsi"/>
          <w:sz w:val="24"/>
          <w:vertAlign w:val="superscript"/>
        </w:rPr>
        <w:t>9</w:t>
      </w:r>
      <w:r w:rsidRPr="00203BA5">
        <w:rPr>
          <w:rFonts w:asciiTheme="majorHAnsi" w:hAnsiTheme="majorHAnsi"/>
          <w:sz w:val="24"/>
        </w:rPr>
        <w:t xml:space="preserve"> células con un peso estimado de producción a la hora de la cosecha de 14</w:t>
      </w:r>
      <w:r>
        <w:rPr>
          <w:rFonts w:asciiTheme="majorHAnsi" w:hAnsiTheme="majorHAnsi"/>
          <w:sz w:val="24"/>
        </w:rPr>
        <w:t>.</w:t>
      </w:r>
      <w:r w:rsidRPr="00203BA5">
        <w:rPr>
          <w:rFonts w:asciiTheme="majorHAnsi" w:hAnsiTheme="majorHAnsi"/>
          <w:sz w:val="24"/>
        </w:rPr>
        <w:t xml:space="preserve">341,8 g. </w:t>
      </w:r>
      <w:r>
        <w:rPr>
          <w:rFonts w:asciiTheme="majorHAnsi" w:hAnsiTheme="majorHAnsi"/>
          <w:sz w:val="24"/>
        </w:rPr>
        <w:t>E</w:t>
      </w:r>
      <w:r w:rsidRPr="00203BA5">
        <w:rPr>
          <w:rFonts w:asciiTheme="majorHAnsi" w:hAnsiTheme="majorHAnsi"/>
          <w:sz w:val="24"/>
        </w:rPr>
        <w:t>stas microalgas tienen un perfil de proteínas y de ácidos grasos</w:t>
      </w:r>
      <w:r>
        <w:rPr>
          <w:rFonts w:asciiTheme="majorHAnsi" w:hAnsiTheme="majorHAnsi"/>
          <w:sz w:val="24"/>
        </w:rPr>
        <w:t xml:space="preserve"> apropiado para ser utilizadas como ingrediente en piensos de acuicultura</w:t>
      </w:r>
      <w:r w:rsidRPr="00203BA5">
        <w:rPr>
          <w:rFonts w:asciiTheme="majorHAnsi" w:hAnsiTheme="majorHAnsi"/>
          <w:sz w:val="24"/>
        </w:rPr>
        <w:t xml:space="preserve">. </w:t>
      </w:r>
    </w:p>
    <w:p w:rsidR="00B6797A" w:rsidRPr="00203BA5" w:rsidRDefault="00B6797A" w:rsidP="00B6797A">
      <w:pPr>
        <w:jc w:val="both"/>
        <w:rPr>
          <w:rFonts w:asciiTheme="majorHAnsi" w:hAnsiTheme="majorHAnsi"/>
          <w:sz w:val="24"/>
        </w:rPr>
      </w:pPr>
      <w:r w:rsidRPr="00203BA5">
        <w:rPr>
          <w:rFonts w:asciiTheme="majorHAnsi" w:hAnsiTheme="majorHAnsi"/>
          <w:sz w:val="24"/>
        </w:rPr>
        <w:t xml:space="preserve">2- En la obtención de proteínas y aceites de pescado a partir de agua de cocción de atún. En esta tarea se ha podido recuperar más del 40% de las proteínas existentes en el agua de cocción, después de los procesos de centrifugación, filtración por membrana y secado. Los análisis del producto recuperado mostraron un alto contino en proteína (71%) destacando la presencia de </w:t>
      </w:r>
      <w:r>
        <w:rPr>
          <w:rFonts w:asciiTheme="majorHAnsi" w:hAnsiTheme="majorHAnsi"/>
          <w:sz w:val="24"/>
        </w:rPr>
        <w:t>aminoácidos</w:t>
      </w:r>
      <w:r w:rsidRPr="00203BA5">
        <w:rPr>
          <w:rFonts w:asciiTheme="majorHAnsi" w:hAnsiTheme="majorHAnsi"/>
          <w:sz w:val="24"/>
        </w:rPr>
        <w:t xml:space="preserve"> como la glicina, alanina y el </w:t>
      </w:r>
      <w:r>
        <w:rPr>
          <w:rFonts w:asciiTheme="majorHAnsi" w:hAnsiTheme="majorHAnsi"/>
          <w:sz w:val="24"/>
        </w:rPr>
        <w:t>ácido glutámico</w:t>
      </w:r>
      <w:r w:rsidRPr="00203BA5">
        <w:rPr>
          <w:rFonts w:asciiTheme="majorHAnsi" w:hAnsiTheme="majorHAnsi"/>
          <w:sz w:val="24"/>
        </w:rPr>
        <w:t>. El aceite recuperado mostr</w:t>
      </w:r>
      <w:r>
        <w:rPr>
          <w:rFonts w:asciiTheme="majorHAnsi" w:hAnsiTheme="majorHAnsi"/>
          <w:sz w:val="24"/>
        </w:rPr>
        <w:t>ó</w:t>
      </w:r>
      <w:r w:rsidRPr="00203BA5">
        <w:rPr>
          <w:rFonts w:asciiTheme="majorHAnsi" w:hAnsiTheme="majorHAnsi"/>
          <w:sz w:val="24"/>
        </w:rPr>
        <w:t xml:space="preserve"> característica</w:t>
      </w:r>
      <w:r>
        <w:rPr>
          <w:rFonts w:asciiTheme="majorHAnsi" w:hAnsiTheme="majorHAnsi"/>
          <w:sz w:val="24"/>
        </w:rPr>
        <w:t>s</w:t>
      </w:r>
      <w:r w:rsidRPr="00203BA5">
        <w:rPr>
          <w:rFonts w:asciiTheme="majorHAnsi" w:hAnsiTheme="majorHAnsi"/>
          <w:sz w:val="24"/>
        </w:rPr>
        <w:t xml:space="preserve"> similares al aceite de pecado con altos niveles de EPA y DHA. Además de altos porcentajes de ácidos grasos poliinsaturados y alto nivel de omega 3 y omega 6</w:t>
      </w:r>
      <w:r>
        <w:rPr>
          <w:rFonts w:asciiTheme="majorHAnsi" w:hAnsiTheme="majorHAnsi"/>
          <w:sz w:val="24"/>
        </w:rPr>
        <w:t>,</w:t>
      </w:r>
      <w:r w:rsidRPr="00203BA5">
        <w:rPr>
          <w:rFonts w:asciiTheme="majorHAnsi" w:hAnsiTheme="majorHAnsi"/>
          <w:sz w:val="24"/>
        </w:rPr>
        <w:t xml:space="preserve"> </w:t>
      </w:r>
      <w:r>
        <w:rPr>
          <w:rFonts w:asciiTheme="majorHAnsi" w:hAnsiTheme="majorHAnsi"/>
          <w:sz w:val="24"/>
        </w:rPr>
        <w:t>algun</w:t>
      </w:r>
      <w:r w:rsidRPr="00203BA5">
        <w:rPr>
          <w:rFonts w:asciiTheme="majorHAnsi" w:hAnsiTheme="majorHAnsi"/>
          <w:sz w:val="24"/>
        </w:rPr>
        <w:t>os de los requerimientos esenciales en la dieta de ambas especies de peces</w:t>
      </w:r>
      <w:r>
        <w:rPr>
          <w:rFonts w:asciiTheme="majorHAnsi" w:hAnsiTheme="majorHAnsi"/>
          <w:sz w:val="24"/>
        </w:rPr>
        <w:t>, trucha arco iris y corvina, con las que se validarán los piensos formulados a partir de los ingredientes alternativos obtenidos en el proyecto</w:t>
      </w:r>
      <w:r w:rsidRPr="00203BA5">
        <w:rPr>
          <w:rFonts w:asciiTheme="majorHAnsi" w:hAnsiTheme="majorHAnsi"/>
          <w:sz w:val="24"/>
        </w:rPr>
        <w:t xml:space="preserve">.   </w:t>
      </w:r>
    </w:p>
    <w:p w:rsidR="00B6797A" w:rsidRPr="00203BA5" w:rsidRDefault="00B6797A" w:rsidP="00B6797A">
      <w:pPr>
        <w:jc w:val="both"/>
        <w:rPr>
          <w:rFonts w:asciiTheme="majorHAnsi" w:hAnsiTheme="majorHAnsi"/>
          <w:sz w:val="24"/>
        </w:rPr>
      </w:pPr>
      <w:r w:rsidRPr="00203BA5">
        <w:rPr>
          <w:rFonts w:asciiTheme="majorHAnsi" w:hAnsiTheme="majorHAnsi"/>
          <w:sz w:val="24"/>
        </w:rPr>
        <w:t xml:space="preserve">3- En la obtención de harinas de insectos. En este caso se subcontrató el proceso de obtención de dos harinas de insectos </w:t>
      </w:r>
      <w:r w:rsidRPr="00203BA5">
        <w:rPr>
          <w:rFonts w:asciiTheme="majorHAnsi" w:hAnsiTheme="majorHAnsi"/>
          <w:i/>
          <w:iCs/>
          <w:sz w:val="24"/>
        </w:rPr>
        <w:t xml:space="preserve">A. </w:t>
      </w:r>
      <w:proofErr w:type="spellStart"/>
      <w:r w:rsidRPr="00203BA5">
        <w:rPr>
          <w:rFonts w:asciiTheme="majorHAnsi" w:hAnsiTheme="majorHAnsi"/>
          <w:i/>
          <w:iCs/>
          <w:sz w:val="24"/>
        </w:rPr>
        <w:t>domesticus</w:t>
      </w:r>
      <w:proofErr w:type="spellEnd"/>
      <w:r w:rsidRPr="00203BA5">
        <w:rPr>
          <w:rFonts w:asciiTheme="majorHAnsi" w:hAnsiTheme="majorHAnsi"/>
          <w:i/>
          <w:iCs/>
          <w:sz w:val="24"/>
        </w:rPr>
        <w:t xml:space="preserve"> </w:t>
      </w:r>
      <w:r w:rsidRPr="00203BA5">
        <w:rPr>
          <w:rFonts w:asciiTheme="majorHAnsi" w:hAnsiTheme="majorHAnsi"/>
          <w:sz w:val="24"/>
        </w:rPr>
        <w:t>y</w:t>
      </w:r>
      <w:r w:rsidRPr="00203BA5">
        <w:rPr>
          <w:rFonts w:asciiTheme="majorHAnsi" w:hAnsiTheme="majorHAnsi"/>
          <w:i/>
          <w:iCs/>
          <w:sz w:val="24"/>
        </w:rPr>
        <w:t xml:space="preserve"> H. </w:t>
      </w:r>
      <w:proofErr w:type="spellStart"/>
      <w:r w:rsidRPr="00203BA5">
        <w:rPr>
          <w:rFonts w:asciiTheme="majorHAnsi" w:hAnsiTheme="majorHAnsi"/>
          <w:i/>
          <w:iCs/>
          <w:sz w:val="24"/>
        </w:rPr>
        <w:t>illucens</w:t>
      </w:r>
      <w:proofErr w:type="spellEnd"/>
      <w:r w:rsidRPr="00203BA5">
        <w:rPr>
          <w:rFonts w:asciiTheme="majorHAnsi" w:hAnsiTheme="majorHAnsi"/>
          <w:sz w:val="24"/>
        </w:rPr>
        <w:t xml:space="preserve"> alimentadas exclusivamente de productos y subproductos vegetales. El perfil nutricional observado de las dos harinas producidas muestra unas diferencias importantes entre las dos, aunque cumplen con las expectativas del porcentaje de proteínas que supera los 40%. Sin embargo, el perfil de ácidos grasos es bastante incompleto y necesita compensar</w:t>
      </w:r>
      <w:r>
        <w:rPr>
          <w:rFonts w:asciiTheme="majorHAnsi" w:hAnsiTheme="majorHAnsi"/>
          <w:sz w:val="24"/>
        </w:rPr>
        <w:t>se</w:t>
      </w:r>
      <w:r w:rsidRPr="00203BA5">
        <w:rPr>
          <w:rFonts w:asciiTheme="majorHAnsi" w:hAnsiTheme="majorHAnsi"/>
          <w:sz w:val="24"/>
        </w:rPr>
        <w:t xml:space="preserve"> la falta o la poca cantidad de EPA y DHA en la harina producida. El punto limitante fue la cantidad de aminas biógenas encontradas en </w:t>
      </w:r>
      <w:r w:rsidRPr="00203BA5">
        <w:rPr>
          <w:rFonts w:asciiTheme="majorHAnsi" w:hAnsiTheme="majorHAnsi"/>
          <w:i/>
          <w:iCs/>
          <w:sz w:val="24"/>
        </w:rPr>
        <w:t xml:space="preserve">H. </w:t>
      </w:r>
      <w:proofErr w:type="spellStart"/>
      <w:r w:rsidRPr="00203BA5">
        <w:rPr>
          <w:rFonts w:asciiTheme="majorHAnsi" w:hAnsiTheme="majorHAnsi"/>
          <w:i/>
          <w:iCs/>
          <w:sz w:val="24"/>
        </w:rPr>
        <w:t>illucens</w:t>
      </w:r>
      <w:proofErr w:type="spellEnd"/>
      <w:r w:rsidRPr="00203BA5">
        <w:rPr>
          <w:rFonts w:asciiTheme="majorHAnsi" w:hAnsiTheme="majorHAnsi"/>
          <w:sz w:val="24"/>
        </w:rPr>
        <w:t xml:space="preserve">, que impide su uso como ingrediente dentro de dieta de los peces. </w:t>
      </w:r>
    </w:p>
    <w:p w:rsidR="00B6797A" w:rsidRPr="00203BA5" w:rsidRDefault="00B6797A" w:rsidP="00B6797A">
      <w:pPr>
        <w:jc w:val="both"/>
        <w:rPr>
          <w:rFonts w:asciiTheme="majorHAnsi" w:hAnsiTheme="majorHAnsi"/>
          <w:sz w:val="24"/>
        </w:rPr>
      </w:pPr>
      <w:r w:rsidRPr="00203BA5">
        <w:rPr>
          <w:rFonts w:asciiTheme="majorHAnsi" w:hAnsiTheme="majorHAnsi"/>
          <w:sz w:val="24"/>
        </w:rPr>
        <w:t xml:space="preserve">En base a esta selección y un estudio realizado de los requerimientos alimenticio de los juveniles de trucha y corvina se diseñaron y fabricaron 4 dietas. En el caso de la corvina se realizaron dos tipos de pienso, uno con un diámetro de 2 mm y otro de 3 </w:t>
      </w:r>
      <w:proofErr w:type="spellStart"/>
      <w:r w:rsidRPr="00203BA5">
        <w:rPr>
          <w:rFonts w:asciiTheme="majorHAnsi" w:hAnsiTheme="majorHAnsi"/>
          <w:sz w:val="24"/>
        </w:rPr>
        <w:t>mm.</w:t>
      </w:r>
      <w:proofErr w:type="spellEnd"/>
      <w:r w:rsidRPr="00203BA5">
        <w:rPr>
          <w:rFonts w:asciiTheme="majorHAnsi" w:hAnsiTheme="majorHAnsi"/>
          <w:sz w:val="24"/>
        </w:rPr>
        <w:t xml:space="preserve"> </w:t>
      </w:r>
    </w:p>
    <w:p w:rsidR="00B6797A" w:rsidRDefault="00B6797A" w:rsidP="00B6797A">
      <w:pPr>
        <w:jc w:val="both"/>
        <w:rPr>
          <w:rFonts w:asciiTheme="majorHAnsi" w:hAnsiTheme="majorHAnsi"/>
          <w:sz w:val="24"/>
        </w:rPr>
      </w:pPr>
    </w:p>
    <w:p w:rsidR="00B6797A" w:rsidRPr="00B66946" w:rsidRDefault="00B6797A" w:rsidP="00B6797A">
      <w:pPr>
        <w:jc w:val="both"/>
        <w:rPr>
          <w:rFonts w:ascii="Garamond" w:hAnsi="Garamond"/>
          <w:sz w:val="24"/>
        </w:rPr>
      </w:pPr>
      <w:bookmarkStart w:id="0" w:name="_GoBack"/>
      <w:bookmarkEnd w:id="0"/>
      <w:r w:rsidRPr="0085573F">
        <w:rPr>
          <w:rFonts w:asciiTheme="majorHAnsi" w:hAnsiTheme="majorHAnsi"/>
          <w:sz w:val="24"/>
        </w:rPr>
        <w:t>En la difusión de los resultados generados. Los resultados del proyecto ALTERNFEED se presentaron en un congreso nacional (XXII Foro de los Recursos Marinos y de la Acuicultura das Rías Gallegas, celebrado en O Grove), en uno internacional (</w:t>
      </w:r>
      <w:r>
        <w:rPr>
          <w:rFonts w:asciiTheme="majorHAnsi" w:hAnsiTheme="majorHAnsi"/>
          <w:sz w:val="24"/>
        </w:rPr>
        <w:t>Business2Sea, celebrado en Porto</w:t>
      </w:r>
      <w:r w:rsidRPr="0085573F">
        <w:rPr>
          <w:rFonts w:asciiTheme="majorHAnsi" w:hAnsiTheme="majorHAnsi"/>
          <w:sz w:val="24"/>
        </w:rPr>
        <w:t>) y en dos jornadas de difusión, una en ANFACO y otra en Cádiz, esta última organizada por la Fundación Biodiversidad.</w:t>
      </w:r>
      <w:r>
        <w:rPr>
          <w:rFonts w:ascii="Garamond" w:hAnsi="Garamond"/>
          <w:sz w:val="24"/>
        </w:rPr>
        <w:t xml:space="preserve">  </w:t>
      </w:r>
    </w:p>
    <w:p w:rsidR="00B6797A" w:rsidRDefault="00B6797A"/>
    <w:sectPr w:rsidR="00B6797A">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22DA" w:rsidRDefault="006C22DA" w:rsidP="00B6797A">
      <w:pPr>
        <w:spacing w:after="0" w:line="240" w:lineRule="auto"/>
      </w:pPr>
      <w:r>
        <w:separator/>
      </w:r>
    </w:p>
  </w:endnote>
  <w:endnote w:type="continuationSeparator" w:id="0">
    <w:p w:rsidR="006C22DA" w:rsidRDefault="006C22DA" w:rsidP="00B67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22DA" w:rsidRDefault="006C22DA" w:rsidP="00B6797A">
      <w:pPr>
        <w:spacing w:after="0" w:line="240" w:lineRule="auto"/>
      </w:pPr>
      <w:r>
        <w:separator/>
      </w:r>
    </w:p>
  </w:footnote>
  <w:footnote w:type="continuationSeparator" w:id="0">
    <w:p w:rsidR="006C22DA" w:rsidRDefault="006C22DA" w:rsidP="00B679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97A" w:rsidRDefault="00B6797A">
    <w:pPr>
      <w:pStyle w:val="Encabezado"/>
    </w:pPr>
    <w:r>
      <w:rPr>
        <w:noProof/>
        <w:lang w:val="es-ES_tradnl" w:eastAsia="es-ES_tradnl"/>
      </w:rPr>
      <w:drawing>
        <wp:inline distT="0" distB="0" distL="0" distR="0" wp14:anchorId="6CFDE060" wp14:editId="6295C134">
          <wp:extent cx="5400040" cy="374650"/>
          <wp:effectExtent l="0" t="0" r="0" b="635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ECO+FB+20AÑOS_Pleamar+FEMP+INTEMARES-15.jpg"/>
                  <pic:cNvPicPr/>
                </pic:nvPicPr>
                <pic:blipFill>
                  <a:blip r:embed="rId1">
                    <a:extLst>
                      <a:ext uri="{28A0092B-C50C-407E-A947-70E740481C1C}">
                        <a14:useLocalDpi xmlns:a14="http://schemas.microsoft.com/office/drawing/2010/main" val="0"/>
                      </a:ext>
                    </a:extLst>
                  </a:blip>
                  <a:stretch>
                    <a:fillRect/>
                  </a:stretch>
                </pic:blipFill>
                <pic:spPr>
                  <a:xfrm>
                    <a:off x="0" y="0"/>
                    <a:ext cx="5400040" cy="3746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97A"/>
    <w:rsid w:val="000D67B5"/>
    <w:rsid w:val="00181DBF"/>
    <w:rsid w:val="002027F7"/>
    <w:rsid w:val="00217C75"/>
    <w:rsid w:val="003253D4"/>
    <w:rsid w:val="0032798A"/>
    <w:rsid w:val="00370B91"/>
    <w:rsid w:val="00447C78"/>
    <w:rsid w:val="00572253"/>
    <w:rsid w:val="00590230"/>
    <w:rsid w:val="006C22DA"/>
    <w:rsid w:val="00781ED8"/>
    <w:rsid w:val="007C7AA9"/>
    <w:rsid w:val="007E4370"/>
    <w:rsid w:val="00834EE5"/>
    <w:rsid w:val="008516FE"/>
    <w:rsid w:val="008F447E"/>
    <w:rsid w:val="00935DF4"/>
    <w:rsid w:val="00A8227E"/>
    <w:rsid w:val="00B407EC"/>
    <w:rsid w:val="00B61E77"/>
    <w:rsid w:val="00B6797A"/>
    <w:rsid w:val="00D42C09"/>
    <w:rsid w:val="00DF1160"/>
    <w:rsid w:val="00E23CF2"/>
    <w:rsid w:val="00E50F62"/>
    <w:rsid w:val="00E63F32"/>
    <w:rsid w:val="00EA5C27"/>
    <w:rsid w:val="00F9223B"/>
    <w:rsid w:val="00FC43D1"/>
    <w:rsid w:val="00FC51E8"/>
    <w:rsid w:val="00FE11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7F9AE"/>
  <w15:chartTrackingRefBased/>
  <w15:docId w15:val="{A87B14C4-73C0-480C-9466-A075BCC4A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797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797A"/>
  </w:style>
  <w:style w:type="paragraph" w:styleId="Piedepgina">
    <w:name w:val="footer"/>
    <w:basedOn w:val="Normal"/>
    <w:link w:val="PiedepginaCar"/>
    <w:uiPriority w:val="99"/>
    <w:unhideWhenUsed/>
    <w:rsid w:val="00B6797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79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553</Words>
  <Characters>3047</Characters>
  <Application>Microsoft Office Word</Application>
  <DocSecurity>0</DocSecurity>
  <Lines>25</Lines>
  <Paragraphs>7</Paragraphs>
  <ScaleCrop>false</ScaleCrop>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dc:creator>
  <cp:keywords/>
  <dc:description/>
  <cp:lastModifiedBy>mohamed</cp:lastModifiedBy>
  <cp:revision>1</cp:revision>
  <dcterms:created xsi:type="dcterms:W3CDTF">2020-02-27T09:32:00Z</dcterms:created>
  <dcterms:modified xsi:type="dcterms:W3CDTF">2020-02-27T09:36:00Z</dcterms:modified>
</cp:coreProperties>
</file>